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CB" w:rsidRDefault="000F48CB" w:rsidP="000F48CB">
      <w:pPr>
        <w:pStyle w:val="Heading1"/>
        <w:shd w:val="clear" w:color="auto" w:fill="B2CCFF"/>
        <w:spacing w:before="368" w:beforeAutospacing="0" w:after="251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color w:val="002A80"/>
          <w:sz w:val="34"/>
          <w:szCs w:val="34"/>
        </w:rPr>
        <w:t>Que</w:t>
      </w:r>
      <w:proofErr w:type="spellEnd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dit</w:t>
      </w:r>
      <w:proofErr w:type="spellEnd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l’islam</w:t>
      </w:r>
      <w:proofErr w:type="spellEnd"/>
      <w:r>
        <w:rPr>
          <w:color w:val="002A80"/>
          <w:sz w:val="34"/>
          <w:szCs w:val="34"/>
        </w:rPr>
        <w:t xml:space="preserve"> à propos du </w:t>
      </w:r>
      <w:proofErr w:type="spellStart"/>
      <w:r>
        <w:rPr>
          <w:color w:val="002A80"/>
          <w:sz w:val="34"/>
          <w:szCs w:val="34"/>
        </w:rPr>
        <w:t>terrorisme</w:t>
      </w:r>
      <w:proofErr w:type="spellEnd"/>
      <w:r>
        <w:rPr>
          <w:color w:val="002A80"/>
          <w:sz w:val="34"/>
          <w:szCs w:val="34"/>
        </w:rPr>
        <w:t>?</w:t>
      </w:r>
    </w:p>
    <w:p w:rsidR="000F48CB" w:rsidRDefault="000F48CB" w:rsidP="000F48CB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765300" cy="2668905"/>
            <wp:effectExtent l="19050" t="0" r="6350" b="0"/>
            <wp:docPr id="6" name="Picture 1" descr="http://www.islamreligion.com/articles_ru/images/What_Does_Islam_Say_about_Terrorism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_ru/images/What_Does_Islam_Say_about_Terrorism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6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L’islam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qui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est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religion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miséricorde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ne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permet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pas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terrorisme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Coran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Dieu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Dieu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défend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d’être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bienfaisants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et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équitables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envers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ceux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qui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ont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combattus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pour la religion et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ont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chassés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demeures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Car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Dieu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aime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équitables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.” (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Coran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60:8)</w:t>
      </w:r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prophète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Mohammed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interdisait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aux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soldats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tuer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des femmes et des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enfants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bookmarkStart w:id="0" w:name="_ftnref14715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"_ftn14715" \o " Rapporté dans Sahih Mouslim, #1744, et Sahih Al-Boukhari, #3015."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[1]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0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conseillait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“...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trahissez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pas,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soyez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excessifs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tuez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un nouveau-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.”</w:t>
      </w:r>
      <w:bookmarkStart w:id="1" w:name="_ftnref14716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"_ftn14716" \o " Rapporté dans Sahih Mouslim, #1731, et Al-Tirmizi, #1408."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[2]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aussi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Quiconque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personne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qui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avait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fait un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pacte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(de non-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agression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) avec les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sentira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pas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l’odeur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Paradis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même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son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parfum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peut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être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senti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distance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équivalant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quarante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ans.”</w:t>
      </w:r>
      <w:bookmarkStart w:id="2" w:name="_ftnref14717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"_ftn14717" \o " Rapporté dans Sahih Al-Boukhari, #3166, et Ibn Majah, #2686."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 w:hint="cs"/>
          <w:color w:val="800080"/>
          <w:position w:val="2"/>
          <w:sz w:val="23"/>
          <w:u w:val="single"/>
        </w:rPr>
        <w:t>[3]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prophète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Mohammed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aussi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interdit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punir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gens par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feu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Start w:id="3" w:name="_ftnref14718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"_ftn14718" \o " Rapporté dans Abou-Dawood, #2675."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[4]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fois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classé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meurtre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comme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deuxième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péché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majeur</w:t>
      </w:r>
      <w:bookmarkStart w:id="4" w:name="_ftnref14719"/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"_ftn14719" \o " Rapporté dans Sahih Al-Boukhari, #6871, et Sahih Mouslim, #88."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[5]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4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   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même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averti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gens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“Les premiers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cas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être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jugés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entre les gens au Jour du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Jugement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seront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cas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d’effusions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sang.</w:t>
      </w:r>
      <w:bookmarkStart w:id="5" w:name="_ftnref14720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"http://www.islamreligion.com/fr/articles/238/" \l "_ftn14720" \o " Cela signifie tuer et blesser." </w:instrTex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b/>
          <w:bCs/>
          <w:color w:val="800080"/>
          <w:position w:val="2"/>
          <w:sz w:val="23"/>
          <w:u w:val="single"/>
        </w:rPr>
        <w:t>[6]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5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bookmarkStart w:id="6" w:name="_ftnref14721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"_ftn14721" \o " Rapporté dans Sahih Mouslim, #1678, et Sahih Al-Boukhari, #6533."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 w:hint="cs"/>
          <w:b/>
          <w:bCs/>
          <w:color w:val="800080"/>
          <w:position w:val="2"/>
          <w:sz w:val="23"/>
          <w:u w:val="single"/>
        </w:rPr>
        <w:t>[7]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6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sont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même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encouragés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être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bons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envers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animaux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est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interdit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faire du mal.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fois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prophète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Mohammed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raconté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femme 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été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punie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pour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avoir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emprisonné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un chat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jusqu’à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qu’il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meure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À cause de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cela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elle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été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condamnée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l’Enfer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Elle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l’avait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emprisonné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sans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lui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donner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manger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boire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et sans le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libérer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pour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qu’il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puisse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manger les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insectes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la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terre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.”</w:t>
      </w:r>
      <w:bookmarkStart w:id="7" w:name="_ftnref14722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"_ftn14722" \o " Rapporté dans Sahih Mouslim, #2422, et Sahih Al-Boukhari, #2365."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[8]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7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Il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aussi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raconté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qu’un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homme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ayant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donné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boire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un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chien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assoiffé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Dieu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lui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pardonna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péchés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pour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cette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action.  On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demanda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prophète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“Ô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messager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Dieu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sommes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-nous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récompensés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pour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bien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nous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faisons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aux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animaux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?”  Il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répondit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“Pour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toute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créature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vivante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y 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récompense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à qui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leur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fait du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bien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.”</w:t>
      </w:r>
      <w:bookmarkStart w:id="8" w:name="_ftnref14723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"_ftn14723" \o " Ce hadith de Mohammed est mentionné de façon plus détaillée sur cette page.  Rapporté dans Sahih Mouslim, #2244, et Sahih Al-Boukhari, #2466."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</w:rPr>
        <w:t>[9]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8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Par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ailleurs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lorsque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tuent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 animal pour se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nourrir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doivent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 faire de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façon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qui cause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moins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frayeur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douleur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possible. 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prophète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Mohammed 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F48CB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Lorsque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égorgez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un animal,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faites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-le de la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meilleure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façon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Vous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devez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bien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aiguiser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votre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couteau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afin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faire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souffrir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l’animal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le </w:t>
      </w:r>
      <w:proofErr w:type="spellStart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moins</w:t>
      </w:r>
      <w:proofErr w:type="spellEnd"/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possible.”</w:t>
      </w:r>
      <w:bookmarkStart w:id="9" w:name="_ftnref14724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"http://www.islamreligion.com/fr/articles/238/" \l "_ftn14724" \o " Narrated in Saheeh Muslim, #1955, and Al-Tirmizi, #1409." </w:instrTex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48CB">
        <w:rPr>
          <w:rFonts w:ascii="Times New Roman" w:eastAsia="Times New Roman" w:hAnsi="Times New Roman" w:cs="Times New Roman" w:hint="cs"/>
          <w:color w:val="800080"/>
          <w:position w:val="2"/>
          <w:sz w:val="23"/>
          <w:u w:val="single"/>
        </w:rPr>
        <w:t>[10]</w:t>
      </w: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9"/>
    </w:p>
    <w:p w:rsidR="000F48CB" w:rsidRPr="000F48CB" w:rsidRDefault="000F48CB" w:rsidP="000F48CB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À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lumière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textes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d’autres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textes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islamiques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le fait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provoquer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terreur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coeurs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civils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défense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la destruction massive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d’édifices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propriétés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bombardement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la mutilation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d’hommes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de femmes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d’enfants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innocents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sont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tous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actes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interdits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détestables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aux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yeux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l’islam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des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pratiquent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une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religion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basée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sur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paix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miséricorde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 le pardon, et la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vaste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majorité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d’entre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eux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n’ont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rien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voir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avec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violents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événements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certains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associent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aux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Si un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musulman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commettait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acte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terrorisme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il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serait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coupable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d’avoir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violé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les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lois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l’islam</w:t>
      </w:r>
      <w:proofErr w:type="spellEnd"/>
      <w:r w:rsidRPr="000F48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F48CB" w:rsidRPr="000F48CB" w:rsidRDefault="000F48CB" w:rsidP="000F48CB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F48CB">
        <w:rPr>
          <w:rFonts w:ascii="Arial" w:eastAsia="Times New Roman" w:hAnsi="Arial" w:cs="Arial"/>
          <w:color w:val="000000"/>
        </w:rPr>
        <w:br w:type="textWrapping" w:clear="all"/>
      </w:r>
    </w:p>
    <w:p w:rsidR="000F48CB" w:rsidRPr="000F48CB" w:rsidRDefault="000F48CB" w:rsidP="000F48CB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F48CB">
        <w:rPr>
          <w:rFonts w:ascii="Arial" w:eastAsia="Times New Roman" w:hAnsi="Arial" w:cs="Arial"/>
          <w:color w:val="000000"/>
        </w:rPr>
        <w:pict>
          <v:rect id="_x0000_i1025" style="width:155pt;height:1.5pt" o:hrpct="0" o:hralign="center" o:hrstd="t" o:hr="t" fillcolor="#a0a0a0" stroked="f"/>
        </w:pict>
      </w:r>
    </w:p>
    <w:p w:rsidR="000F48CB" w:rsidRPr="000F48CB" w:rsidRDefault="000F48CB" w:rsidP="000F48CB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0F48CB">
        <w:rPr>
          <w:rFonts w:ascii="Times New Roman" w:eastAsia="Times New Roman" w:hAnsi="Times New Roman" w:cs="Times New Roman"/>
          <w:b/>
          <w:bCs/>
          <w:color w:val="000000"/>
          <w:sz w:val="26"/>
        </w:rPr>
        <w:t>Footnotes:</w:t>
      </w:r>
    </w:p>
    <w:bookmarkStart w:id="10" w:name="_ftn14715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"_ftnref14715"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[1]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0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#1744,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#3015.</w:t>
      </w:r>
    </w:p>
    <w:bookmarkStart w:id="11" w:name="_ftn14716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"_ftnref14716"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[2]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1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#1731, et </w:t>
      </w:r>
      <w:r w:rsidRPr="000F48CB">
        <w:rPr>
          <w:rFonts w:ascii="Times New Roman" w:eastAsia="Times New Roman" w:hAnsi="Times New Roman" w:cs="Times New Roman"/>
          <w:i/>
          <w:iCs/>
          <w:color w:val="000000"/>
        </w:rPr>
        <w:t>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Tirmizi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#1408.</w:t>
      </w:r>
    </w:p>
    <w:bookmarkStart w:id="12" w:name="_ftn14717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"_ftnref14717"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[3]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2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#3166,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Ibn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Majah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#2686.</w:t>
      </w:r>
    </w:p>
    <w:bookmarkStart w:id="13" w:name="_ftn14718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"_ftnref14718"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[4]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3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Abou-Dawood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#2675.</w:t>
      </w:r>
    </w:p>
    <w:bookmarkStart w:id="14" w:name="_ftn14719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"_ftnref14719"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[5]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4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#6871,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#88.</w:t>
      </w:r>
    </w:p>
    <w:bookmarkStart w:id="15" w:name="_ftn14720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"_ftnref14720"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[6]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5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Cela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signifie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tuer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et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blesser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.</w:t>
      </w:r>
    </w:p>
    <w:bookmarkStart w:id="16" w:name="_ftn14721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"_ftnref14721"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[7]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6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#1678,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#6533.</w:t>
      </w:r>
    </w:p>
    <w:bookmarkStart w:id="17" w:name="_ftn14722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"_ftnref14722"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[8]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7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#2422,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#2365.</w:t>
      </w:r>
    </w:p>
    <w:bookmarkStart w:id="18" w:name="_ftn14723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"_ftnref14723"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[9]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8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hadith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de Mohammed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est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mentionné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façon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plus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détaillée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sur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"http://www.islam-guide.com/fr/ch3-4.htm" \l "kindness" \t "_blank"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u w:val="single"/>
        </w:rPr>
        <w:t>cette</w:t>
      </w:r>
      <w:proofErr w:type="spellEnd"/>
      <w:r w:rsidRPr="000F48CB">
        <w:rPr>
          <w:rFonts w:ascii="Times New Roman" w:eastAsia="Times New Roman" w:hAnsi="Times New Roman" w:cs="Times New Roman"/>
          <w:color w:val="800080"/>
          <w:u w:val="single"/>
        </w:rPr>
        <w:t xml:space="preserve"> page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r w:rsidRPr="000F48CB">
        <w:rPr>
          <w:rFonts w:ascii="Times New Roman" w:eastAsia="Times New Roman" w:hAnsi="Times New Roman" w:cs="Times New Roman"/>
          <w:color w:val="000000"/>
        </w:rPr>
        <w:t xml:space="preserve">. 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Rapporté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color w:val="000000"/>
        </w:rPr>
        <w:t>dans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Mouslim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#2244, et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Sahih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Boukhari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#2466.</w:t>
      </w:r>
    </w:p>
    <w:bookmarkStart w:id="19" w:name="_ftn14724"/>
    <w:p w:rsidR="000F48CB" w:rsidRPr="000F48CB" w:rsidRDefault="000F48CB" w:rsidP="000F48CB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0F48CB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48CB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"http://www.islamreligion.com/fr/articles/238/" \l "_ftnref14724" \o "Back to the refrence of this footnote" </w:instrText>
      </w:r>
      <w:r w:rsidRPr="000F48CB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48CB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[10]</w:t>
      </w:r>
      <w:r w:rsidRPr="000F48CB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9"/>
      <w:r w:rsidRPr="000F48CB">
        <w:rPr>
          <w:rFonts w:ascii="Times New Roman" w:eastAsia="Times New Roman" w:hAnsi="Times New Roman" w:cs="Times New Roman"/>
          <w:color w:val="000000"/>
          <w:rtl/>
        </w:rPr>
        <w:t> </w:t>
      </w:r>
      <w:r w:rsidRPr="000F48CB">
        <w:rPr>
          <w:rFonts w:ascii="Times New Roman" w:eastAsia="Times New Roman" w:hAnsi="Times New Roman" w:cs="Times New Roman"/>
          <w:color w:val="000000"/>
        </w:rPr>
        <w:t>Narrated in 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Saheeh</w:t>
      </w:r>
      <w:proofErr w:type="spellEnd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 xml:space="preserve"> Muslim</w:t>
      </w:r>
      <w:r w:rsidRPr="000F48CB">
        <w:rPr>
          <w:rFonts w:ascii="Times New Roman" w:eastAsia="Times New Roman" w:hAnsi="Times New Roman" w:cs="Times New Roman"/>
          <w:color w:val="000000"/>
        </w:rPr>
        <w:t>, #1955, and </w:t>
      </w:r>
      <w:r w:rsidRPr="000F48CB">
        <w:rPr>
          <w:rFonts w:ascii="Times New Roman" w:eastAsia="Times New Roman" w:hAnsi="Times New Roman" w:cs="Times New Roman"/>
          <w:i/>
          <w:iCs/>
          <w:color w:val="000000"/>
        </w:rPr>
        <w:t>Al-</w:t>
      </w:r>
      <w:proofErr w:type="spellStart"/>
      <w:r w:rsidRPr="000F48CB">
        <w:rPr>
          <w:rFonts w:ascii="Times New Roman" w:eastAsia="Times New Roman" w:hAnsi="Times New Roman" w:cs="Times New Roman"/>
          <w:i/>
          <w:iCs/>
          <w:color w:val="000000"/>
        </w:rPr>
        <w:t>Tirmizi</w:t>
      </w:r>
      <w:proofErr w:type="spellEnd"/>
      <w:r w:rsidRPr="000F48CB">
        <w:rPr>
          <w:rFonts w:ascii="Times New Roman" w:eastAsia="Times New Roman" w:hAnsi="Times New Roman" w:cs="Times New Roman"/>
          <w:color w:val="000000"/>
        </w:rPr>
        <w:t>, #1409.</w:t>
      </w:r>
    </w:p>
    <w:p w:rsidR="008040F0" w:rsidRPr="000F48CB" w:rsidRDefault="008040F0" w:rsidP="000F48CB">
      <w:pPr>
        <w:rPr>
          <w:rFonts w:hint="cs"/>
          <w:rtl/>
          <w:lang w:bidi="ar-EG"/>
        </w:rPr>
      </w:pPr>
    </w:p>
    <w:sectPr w:rsidR="008040F0" w:rsidRPr="000F48CB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040F0"/>
    <w:rsid w:val="000F48CB"/>
    <w:rsid w:val="0012644C"/>
    <w:rsid w:val="008040F0"/>
    <w:rsid w:val="00E5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A2"/>
    <w:pPr>
      <w:bidi/>
    </w:pPr>
  </w:style>
  <w:style w:type="paragraph" w:styleId="Heading1">
    <w:name w:val="heading 1"/>
    <w:basedOn w:val="Normal"/>
    <w:link w:val="Heading1Char"/>
    <w:uiPriority w:val="9"/>
    <w:qFormat/>
    <w:rsid w:val="008040F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F0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0F0"/>
    <w:rPr>
      <w:color w:val="0000FF"/>
      <w:u w:val="single"/>
    </w:rPr>
  </w:style>
  <w:style w:type="character" w:customStyle="1" w:styleId="w-footnote-number">
    <w:name w:val="w-footnote-number"/>
    <w:basedOn w:val="DefaultParagraphFont"/>
    <w:rsid w:val="008040F0"/>
  </w:style>
  <w:style w:type="character" w:customStyle="1" w:styleId="apple-converted-space">
    <w:name w:val="apple-converted-space"/>
    <w:basedOn w:val="DefaultParagraphFont"/>
    <w:rsid w:val="008040F0"/>
  </w:style>
  <w:style w:type="character" w:customStyle="1" w:styleId="w-footnote-title">
    <w:name w:val="w-footnote-title"/>
    <w:basedOn w:val="DefaultParagraphFont"/>
    <w:rsid w:val="008040F0"/>
  </w:style>
  <w:style w:type="paragraph" w:customStyle="1" w:styleId="w-footnote-text">
    <w:name w:val="w-footnote-text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2014-12-17T09:07:00Z</cp:lastPrinted>
  <dcterms:created xsi:type="dcterms:W3CDTF">2014-12-17T09:11:00Z</dcterms:created>
  <dcterms:modified xsi:type="dcterms:W3CDTF">2014-12-17T09:11:00Z</dcterms:modified>
</cp:coreProperties>
</file>